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A5" w:rsidRPr="00FD29A5" w:rsidRDefault="00FD29A5" w:rsidP="00FD29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УТВЪРДИЛ: .....................................</w:t>
      </w:r>
    </w:p>
    <w:p w:rsidR="00FD29A5" w:rsidRPr="00FD29A5" w:rsidRDefault="00314CD6" w:rsidP="00FD29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Директор:........................</w:t>
      </w:r>
    </w:p>
    <w:p w:rsidR="00FD29A5" w:rsidRPr="00FD29A5" w:rsidRDefault="00FD29A5" w:rsidP="00FD29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Изготвил:адв. Елена Златева</w:t>
      </w:r>
    </w:p>
    <w:p w:rsidR="00FD29A5" w:rsidRPr="00FD29A5" w:rsidRDefault="00FD29A5" w:rsidP="00FD29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FD29A5" w:rsidRPr="00FD29A5" w:rsidRDefault="00FD29A5" w:rsidP="00FD29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9259EF" w:rsidRDefault="009259EF" w:rsidP="00FD29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259EF" w:rsidRDefault="009259EF" w:rsidP="00FD29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259EF" w:rsidRDefault="009259EF" w:rsidP="00FD29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D29A5" w:rsidRPr="00FD29A5" w:rsidRDefault="00FD29A5" w:rsidP="00FD29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ПРОЦЕДУРА</w:t>
      </w:r>
      <w:r w:rsidRPr="00FD29A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FD29A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ЗА ОЦЕНКА НА ВЪЗДЕЙСТВИЕТО ВЪРХУ ЗАЩИТАТА НА ДАННИТЕ </w:t>
      </w:r>
      <w:r w:rsidR="00B1261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НА </w:t>
      </w:r>
      <w:r w:rsidR="009259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.........................</w:t>
      </w:r>
    </w:p>
    <w:p w:rsidR="00FD29A5" w:rsidRPr="00FD29A5" w:rsidRDefault="00FD29A5" w:rsidP="00FD29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bg-BG" w:eastAsia="hi-IN" w:bidi="hi-IN"/>
        </w:rPr>
      </w:pPr>
    </w:p>
    <w:p w:rsidR="009259EF" w:rsidRDefault="009259EF" w:rsidP="00FD29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9259EF" w:rsidRDefault="009259EF" w:rsidP="00FD29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9259EF" w:rsidRDefault="009259EF" w:rsidP="00FD29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FD29A5" w:rsidRPr="00FD29A5" w:rsidRDefault="00FD29A5" w:rsidP="00FD29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Предназначение на процедурата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425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Всички дейности и проекти, осъществявани от</w:t>
      </w:r>
      <w:r w:rsidR="00B12610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ОУ,СУ, ПГ</w:t>
      </w:r>
      <w:r w:rsidR="00314CD6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...........................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, които предвиждат обработка на лични данни, са предмет на предварителна оценка на риска. Когато тази оценка покаже, че съществува вероятност обработването да породи висок риск за правата и свободите на субектите на данни, преди да</w:t>
      </w:r>
      <w:r w:rsidR="00B12610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извърши обработването, учебното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заведение извършва също и оценка на въздействието върху защитата на данните (ОВЗД) съгласно изискванията на тази процедура.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Освен при идентифициране на висок риск, ОВЗД се извършва задължително и в изброените в </w:t>
      </w:r>
      <w:r w:rsidRPr="00FD29A5">
        <w:rPr>
          <w:rFonts w:ascii="Times New Roman" w:eastAsia="SimSun" w:hAnsi="Times New Roman" w:cs="Mangal"/>
          <w:kern w:val="1"/>
          <w:sz w:val="24"/>
          <w:szCs w:val="24"/>
          <w:lang w:val="bg-BG" w:eastAsia="hi-IN" w:bidi="hi-IN"/>
        </w:rPr>
        <w:fldChar w:fldCharType="begin"/>
      </w:r>
      <w:r w:rsidRPr="00FD29A5">
        <w:rPr>
          <w:rFonts w:ascii="Times New Roman" w:eastAsia="SimSun" w:hAnsi="Times New Roman" w:cs="Mangal"/>
          <w:kern w:val="1"/>
          <w:sz w:val="24"/>
          <w:szCs w:val="24"/>
          <w:lang w:val="bg-BG" w:eastAsia="hi-IN" w:bidi="hi-IN"/>
        </w:rPr>
        <w:instrText xml:space="preserve"> HYPERLINK "https://web.apis.bg/e.php?celex=32016R0679&amp;ToPar=Art35" </w:instrText>
      </w:r>
      <w:r w:rsidRPr="00FD29A5">
        <w:rPr>
          <w:rFonts w:ascii="Times New Roman" w:eastAsia="SimSun" w:hAnsi="Times New Roman" w:cs="Mangal"/>
          <w:kern w:val="1"/>
          <w:sz w:val="24"/>
          <w:szCs w:val="24"/>
          <w:lang w:val="bg-BG" w:eastAsia="hi-IN" w:bidi="hi-IN"/>
        </w:rPr>
        <w:fldChar w:fldCharType="separate"/>
      </w:r>
      <w:r w:rsidRPr="00FD29A5">
        <w:rPr>
          <w:rFonts w:ascii="Times New Roman" w:eastAsia="SimSun" w:hAnsi="Times New Roman" w:cs="Times New Roman"/>
          <w:color w:val="0000FF"/>
          <w:kern w:val="1"/>
          <w:sz w:val="24"/>
          <w:szCs w:val="24"/>
          <w:u w:val="single"/>
          <w:lang w:val="bg-BG" w:eastAsia="hi-IN" w:bidi="hi-IN"/>
        </w:rPr>
        <w:t>член 35, параграф 3 от ОРЗД</w:t>
      </w:r>
      <w:r w:rsidRPr="00FD29A5">
        <w:rPr>
          <w:rFonts w:ascii="Times New Roman" w:eastAsia="SimSun" w:hAnsi="Times New Roman" w:cs="Times New Roman"/>
          <w:color w:val="0000FF"/>
          <w:kern w:val="1"/>
          <w:sz w:val="24"/>
          <w:szCs w:val="24"/>
          <w:u w:val="single"/>
          <w:lang w:val="bg-BG" w:eastAsia="hi-IN" w:bidi="hi-IN"/>
        </w:rPr>
        <w:fldChar w:fldCharType="end"/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случаи:</w:t>
      </w:r>
    </w:p>
    <w:p w:rsidR="00FD29A5" w:rsidRPr="00FD29A5" w:rsidRDefault="00FD29A5" w:rsidP="00FD29A5">
      <w:pPr>
        <w:widowControl w:val="0"/>
        <w:numPr>
          <w:ilvl w:val="0"/>
          <w:numId w:val="1"/>
        </w:num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когато се извършва систематична и подробна оценка на личните аспекти по отношение на физически лица, която се базира на автоматично обработване, включително профилиране, и служи за основа на решения, които имат правни последици за физическото лице или по подобен начин сериозно засягат физическото лице;</w:t>
      </w:r>
    </w:p>
    <w:p w:rsidR="00FD29A5" w:rsidRPr="00FD29A5" w:rsidRDefault="00FD29A5" w:rsidP="00FD29A5">
      <w:pPr>
        <w:widowControl w:val="0"/>
        <w:numPr>
          <w:ilvl w:val="0"/>
          <w:numId w:val="1"/>
        </w:num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при мащабно обработване на „чувствителни“ лични данни или на лични данни за присъди и нарушения;</w:t>
      </w:r>
    </w:p>
    <w:p w:rsidR="00FD29A5" w:rsidRPr="00FD29A5" w:rsidRDefault="00FD29A5" w:rsidP="00FD29A5">
      <w:pPr>
        <w:widowControl w:val="0"/>
        <w:numPr>
          <w:ilvl w:val="0"/>
          <w:numId w:val="1"/>
        </w:num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при систематично мащабно наблюдение на публично достъпна зона.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ОВЗД е задължителна също и за видовете операции по обработване, посочени в списък, приет и оповестен от националния надзорен орган 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(</w:t>
      </w:r>
      <w:r w:rsidRPr="00FD29A5">
        <w:rPr>
          <w:rFonts w:ascii="Times New Roman" w:eastAsia="SimSun" w:hAnsi="Times New Roman" w:cs="Mangal"/>
          <w:kern w:val="1"/>
          <w:sz w:val="24"/>
          <w:szCs w:val="24"/>
          <w:lang w:val="bg-BG" w:eastAsia="hi-IN" w:bidi="hi-IN"/>
        </w:rPr>
        <w:fldChar w:fldCharType="begin"/>
      </w:r>
      <w:r w:rsidRPr="00FD29A5">
        <w:rPr>
          <w:rFonts w:ascii="Times New Roman" w:eastAsia="SimSun" w:hAnsi="Times New Roman" w:cs="Mangal"/>
          <w:kern w:val="1"/>
          <w:sz w:val="24"/>
          <w:szCs w:val="24"/>
          <w:lang w:val="bg-BG" w:eastAsia="hi-IN" w:bidi="hi-IN"/>
        </w:rPr>
        <w:instrText xml:space="preserve"> HYPERLINK "https://web.apis.bg/e.php?celex=32016R0679&amp;ToPar=Art35" </w:instrText>
      </w:r>
      <w:r w:rsidRPr="00FD29A5">
        <w:rPr>
          <w:rFonts w:ascii="Times New Roman" w:eastAsia="SimSun" w:hAnsi="Times New Roman" w:cs="Mangal"/>
          <w:kern w:val="1"/>
          <w:sz w:val="24"/>
          <w:szCs w:val="24"/>
          <w:lang w:val="bg-BG" w:eastAsia="hi-IN" w:bidi="hi-IN"/>
        </w:rPr>
        <w:fldChar w:fldCharType="separate"/>
      </w:r>
      <w:r w:rsidRPr="00FD29A5">
        <w:rPr>
          <w:rFonts w:ascii="Times New Roman" w:eastAsia="SimSun" w:hAnsi="Times New Roman" w:cs="Times New Roman"/>
          <w:color w:val="0000FF"/>
          <w:kern w:val="1"/>
          <w:sz w:val="24"/>
          <w:szCs w:val="24"/>
          <w:u w:val="single"/>
          <w:lang w:val="bg-BG" w:eastAsia="hi-IN" w:bidi="hi-IN"/>
        </w:rPr>
        <w:t xml:space="preserve">чл. 35, пар. </w:t>
      </w:r>
      <w:r w:rsidRPr="00FD29A5">
        <w:rPr>
          <w:rFonts w:ascii="Times New Roman" w:eastAsia="SimSun" w:hAnsi="Times New Roman" w:cs="Times New Roman"/>
          <w:color w:val="0000FF"/>
          <w:kern w:val="1"/>
          <w:sz w:val="24"/>
          <w:szCs w:val="24"/>
          <w:u w:val="single"/>
          <w:lang w:val="ru-RU" w:eastAsia="hi-IN" w:bidi="hi-IN"/>
        </w:rPr>
        <w:t>4</w:t>
      </w:r>
      <w:r w:rsidRPr="00FD29A5">
        <w:rPr>
          <w:rFonts w:ascii="Times New Roman" w:eastAsia="SimSun" w:hAnsi="Times New Roman" w:cs="Times New Roman"/>
          <w:color w:val="0000FF"/>
          <w:kern w:val="1"/>
          <w:sz w:val="24"/>
          <w:szCs w:val="24"/>
          <w:u w:val="single"/>
          <w:lang w:val="bg-BG" w:eastAsia="hi-IN" w:bidi="hi-IN"/>
        </w:rPr>
        <w:t xml:space="preserve"> от ОРЗД</w:t>
      </w:r>
      <w:r w:rsidRPr="00FD29A5">
        <w:rPr>
          <w:rFonts w:ascii="Times New Roman" w:eastAsia="SimSun" w:hAnsi="Times New Roman" w:cs="Times New Roman"/>
          <w:color w:val="0000FF"/>
          <w:kern w:val="1"/>
          <w:sz w:val="24"/>
          <w:szCs w:val="24"/>
          <w:u w:val="single"/>
          <w:lang w:val="bg-BG" w:eastAsia="hi-IN" w:bidi="hi-IN"/>
        </w:rPr>
        <w:fldChar w:fldCharType="end"/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)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.</w:t>
      </w:r>
    </w:p>
    <w:p w:rsidR="00FD29A5" w:rsidRPr="00FD29A5" w:rsidRDefault="00FD29A5" w:rsidP="00FD29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Нормативна уредба</w:t>
      </w:r>
    </w:p>
    <w:p w:rsidR="00FD29A5" w:rsidRPr="00FD29A5" w:rsidRDefault="00B12610" w:rsidP="00FD29A5">
      <w:pPr>
        <w:widowControl w:val="0"/>
        <w:numPr>
          <w:ilvl w:val="0"/>
          <w:numId w:val="1"/>
        </w:num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7" w:history="1">
        <w:r w:rsidR="00FD29A5" w:rsidRPr="00FD29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Член 35</w:t>
        </w:r>
      </w:hyperlink>
      <w:r w:rsidR="00FD29A5" w:rsidRPr="00FD29A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hyperlink r:id="rId8" w:history="1">
        <w:r w:rsidR="00FD29A5" w:rsidRPr="00FD29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член 36</w:t>
        </w:r>
      </w:hyperlink>
      <w:r w:rsidR="00FD29A5" w:rsidRPr="00FD29A5">
        <w:rPr>
          <w:rFonts w:ascii="Times New Roman" w:hAnsi="Times New Roman" w:cs="Times New Roman"/>
          <w:sz w:val="24"/>
          <w:szCs w:val="24"/>
          <w:lang w:val="bg-BG"/>
        </w:rPr>
        <w:t xml:space="preserve"> от Общия регламент за защита на данните </w:t>
      </w:r>
      <w:r w:rsidR="00FD29A5" w:rsidRPr="00FD29A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D29A5" w:rsidRPr="00FD29A5">
        <w:rPr>
          <w:rFonts w:ascii="Times New Roman" w:hAnsi="Times New Roman" w:cs="Times New Roman"/>
          <w:sz w:val="24"/>
          <w:szCs w:val="24"/>
          <w:lang w:val="bg-BG"/>
        </w:rPr>
        <w:t>ОРЗД</w:t>
      </w:r>
      <w:r w:rsidR="00FD29A5" w:rsidRPr="00FD29A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D29A5" w:rsidRPr="00FD29A5" w:rsidRDefault="00B12610" w:rsidP="00FD29A5">
      <w:pPr>
        <w:widowControl w:val="0"/>
        <w:numPr>
          <w:ilvl w:val="0"/>
          <w:numId w:val="1"/>
        </w:num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9" w:history="1">
        <w:r w:rsidR="00FD29A5" w:rsidRPr="00FD29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Насоки</w:t>
        </w:r>
      </w:hyperlink>
      <w:r w:rsidR="00FD29A5" w:rsidRPr="00FD29A5">
        <w:rPr>
          <w:rFonts w:ascii="Times New Roman" w:hAnsi="Times New Roman" w:cs="Times New Roman"/>
          <w:sz w:val="24"/>
          <w:szCs w:val="24"/>
          <w:lang w:val="bg-BG"/>
        </w:rPr>
        <w:t xml:space="preserve"> относно оценката на въздействието върху защитата на данни (ОВЗД) и определяне дали съществува вероятност обработването „да породи висок риск" за </w:t>
      </w:r>
      <w:r w:rsidR="00FD29A5" w:rsidRPr="00FD29A5">
        <w:rPr>
          <w:rFonts w:ascii="Times New Roman" w:hAnsi="Times New Roman" w:cs="Times New Roman"/>
          <w:sz w:val="24"/>
          <w:szCs w:val="24"/>
          <w:lang w:val="bg-BG"/>
        </w:rPr>
        <w:lastRenderedPageBreak/>
        <w:t>целите на Регламент 2016/679</w:t>
      </w:r>
      <w:r w:rsidR="00FD29A5" w:rsidRPr="00FD29A5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footnoteReference w:id="1"/>
      </w:r>
    </w:p>
    <w:p w:rsidR="00FD29A5" w:rsidRPr="00FD29A5" w:rsidRDefault="00FD29A5" w:rsidP="00FD29A5">
      <w:pPr>
        <w:keepNext/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Задължения и роли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 xml:space="preserve">1. </w:t>
      </w:r>
      <w:r w:rsidR="00B12610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Директорът на учебноъо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заведение отговаря за извършването на необходимите проверки на личните данни, чиято цел е да се установи нуждата от провеждане на ОВЗД. Директорът може да възложи  изпълнението на дейностите по 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прилагането и ефективното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изпълнение на тази процедура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на други служители с подходяща квалификация.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Pr="00FD29A5">
        <w:rPr>
          <w:rFonts w:ascii="Times New Roman" w:eastAsia="SimSun" w:hAnsi="Times New Roman" w:cs="Times New Roman"/>
          <w:b/>
          <w:kern w:val="1"/>
          <w:sz w:val="24"/>
          <w:szCs w:val="24"/>
          <w:lang w:val="bg-BG" w:eastAsia="hi-IN" w:bidi="hi-IN"/>
        </w:rPr>
        <w:t>.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Лицата, ръководещи отделните процеси по обработка на данните в организацията, са отговорни за своевременното известяване на отговорното лице и за съвместното вземане на решения във връзка с възникнали рискове за сигурността на личните данни.</w:t>
      </w:r>
    </w:p>
    <w:p w:rsidR="00FD29A5" w:rsidRPr="000D0EFC" w:rsidRDefault="00FD29A5" w:rsidP="00FD29A5">
      <w:pPr>
        <w:pStyle w:val="GDPRApisParts"/>
        <w:numPr>
          <w:ilvl w:val="0"/>
          <w:numId w:val="0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EFC">
        <w:rPr>
          <w:rFonts w:ascii="Times New Roman" w:hAnsi="Times New Roman" w:cs="Times New Roman"/>
          <w:sz w:val="24"/>
          <w:szCs w:val="24"/>
        </w:rPr>
        <w:t>Ход на процедурата</w:t>
      </w:r>
    </w:p>
    <w:p w:rsidR="00FD29A5" w:rsidRPr="000D0EFC" w:rsidRDefault="00FD29A5" w:rsidP="00FD29A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0EFC">
        <w:rPr>
          <w:rFonts w:ascii="Times New Roman" w:hAnsi="Times New Roman" w:cs="Times New Roman"/>
          <w:b/>
          <w:sz w:val="24"/>
          <w:szCs w:val="24"/>
          <w:lang w:val="bg-BG"/>
        </w:rPr>
        <w:t>Анализ на рисковете и оценка на въздействието</w:t>
      </w:r>
    </w:p>
    <w:p w:rsidR="00FD29A5" w:rsidRPr="000D0EFC" w:rsidRDefault="00FD29A5" w:rsidP="00FD29A5">
      <w:pPr>
        <w:spacing w:after="120"/>
        <w:ind w:firstLine="360"/>
        <w:jc w:val="both"/>
        <w:rPr>
          <w:rFonts w:cs="Times New Roman"/>
        </w:rPr>
      </w:pPr>
      <w:proofErr w:type="spellStart"/>
      <w:r w:rsidRPr="000D0EFC">
        <w:rPr>
          <w:rFonts w:cs="Times New Roman"/>
        </w:rPr>
        <w:t>При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започването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всяка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дейност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или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проект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отговорното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лице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извършва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оценка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риска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съгласно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изискванията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настоящата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процедура</w:t>
      </w:r>
      <w:proofErr w:type="spellEnd"/>
      <w:r>
        <w:rPr>
          <w:rFonts w:cs="Times New Roman"/>
        </w:rPr>
        <w:t xml:space="preserve">  и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определя</w:t>
      </w:r>
      <w:proofErr w:type="spellEnd"/>
      <w:r>
        <w:rPr>
          <w:rFonts w:cs="Times New Roman"/>
        </w:rPr>
        <w:t xml:space="preserve"> </w:t>
      </w:r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дали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съществува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вероятност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обработването</w:t>
      </w:r>
      <w:proofErr w:type="spellEnd"/>
      <w:r w:rsidRPr="000D0EFC">
        <w:rPr>
          <w:rFonts w:cs="Times New Roman"/>
        </w:rPr>
        <w:t xml:space="preserve"> „</w:t>
      </w:r>
      <w:proofErr w:type="spellStart"/>
      <w:r w:rsidRPr="000D0EFC">
        <w:rPr>
          <w:rFonts w:cs="Times New Roman"/>
        </w:rPr>
        <w:t>да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породи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висок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риск</w:t>
      </w:r>
      <w:proofErr w:type="spellEnd"/>
      <w:r w:rsidRPr="000D0EFC">
        <w:rPr>
          <w:rFonts w:cs="Times New Roman"/>
        </w:rPr>
        <w:t xml:space="preserve">“ </w:t>
      </w:r>
      <w:proofErr w:type="spellStart"/>
      <w:r w:rsidRPr="000D0EFC">
        <w:rPr>
          <w:rFonts w:cs="Times New Roman"/>
        </w:rPr>
        <w:t>за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целите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Регламент</w:t>
      </w:r>
      <w:proofErr w:type="spellEnd"/>
      <w:r w:rsidRPr="000D0EFC">
        <w:rPr>
          <w:rFonts w:cs="Times New Roman"/>
        </w:rPr>
        <w:t xml:space="preserve"> 2016/679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Работната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група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по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чл</w:t>
      </w:r>
      <w:proofErr w:type="spellEnd"/>
      <w:r w:rsidRPr="000D0EFC">
        <w:rPr>
          <w:rFonts w:cs="Times New Roman"/>
        </w:rPr>
        <w:t xml:space="preserve">. 29 </w:t>
      </w:r>
      <w:proofErr w:type="spellStart"/>
      <w:r w:rsidRPr="000D0EFC">
        <w:rPr>
          <w:rFonts w:cs="Times New Roman"/>
        </w:rPr>
        <w:t>от</w:t>
      </w:r>
      <w:proofErr w:type="spellEnd"/>
      <w:r w:rsidRPr="000D0EFC">
        <w:rPr>
          <w:rFonts w:cs="Times New Roman"/>
        </w:rPr>
        <w:t xml:space="preserve"> ОРЗД, </w:t>
      </w:r>
      <w:proofErr w:type="spellStart"/>
      <w:r w:rsidRPr="000D0EFC">
        <w:rPr>
          <w:rFonts w:cs="Times New Roman"/>
        </w:rPr>
        <w:t>като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взема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предвид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вида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личните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данни</w:t>
      </w:r>
      <w:proofErr w:type="spellEnd"/>
      <w:r w:rsidRPr="000D0EFC">
        <w:rPr>
          <w:rFonts w:cs="Times New Roman"/>
        </w:rPr>
        <w:t xml:space="preserve"> и </w:t>
      </w:r>
      <w:proofErr w:type="spellStart"/>
      <w:r w:rsidRPr="000D0EFC">
        <w:rPr>
          <w:rFonts w:cs="Times New Roman"/>
        </w:rPr>
        <w:t>начините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за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обработването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им</w:t>
      </w:r>
      <w:proofErr w:type="spellEnd"/>
      <w:r w:rsidRPr="000D0EFC">
        <w:rPr>
          <w:rFonts w:cs="Times New Roman"/>
        </w:rPr>
        <w:t>.</w:t>
      </w:r>
    </w:p>
    <w:p w:rsidR="00FD29A5" w:rsidRPr="000D0EFC" w:rsidRDefault="00FD29A5" w:rsidP="00FD29A5">
      <w:pPr>
        <w:spacing w:after="120"/>
        <w:ind w:firstLine="360"/>
        <w:jc w:val="both"/>
        <w:rPr>
          <w:rFonts w:cs="Times New Roman"/>
          <w:lang w:val="ru-RU"/>
        </w:rPr>
      </w:pPr>
      <w:r w:rsidRPr="000D0EFC">
        <w:rPr>
          <w:rFonts w:cs="Times New Roman"/>
        </w:rPr>
        <w:t xml:space="preserve"> ОВЗД </w:t>
      </w:r>
      <w:proofErr w:type="spellStart"/>
      <w:r w:rsidRPr="000D0EFC">
        <w:rPr>
          <w:rFonts w:cs="Times New Roman"/>
        </w:rPr>
        <w:t>се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извършва</w:t>
      </w:r>
      <w:proofErr w:type="spellEnd"/>
      <w:r w:rsidRPr="000D0EFC">
        <w:rPr>
          <w:rFonts w:cs="Times New Roman"/>
        </w:rPr>
        <w:t xml:space="preserve"> с </w:t>
      </w:r>
      <w:proofErr w:type="spellStart"/>
      <w:r w:rsidRPr="000D0EFC">
        <w:rPr>
          <w:rFonts w:cs="Times New Roman"/>
        </w:rPr>
        <w:t>цел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определяне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адекватно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ниво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технически</w:t>
      </w:r>
      <w:proofErr w:type="spellEnd"/>
      <w:r w:rsidRPr="000D0EFC">
        <w:rPr>
          <w:rFonts w:cs="Times New Roman"/>
        </w:rPr>
        <w:t xml:space="preserve"> и </w:t>
      </w:r>
      <w:proofErr w:type="spellStart"/>
      <w:r w:rsidRPr="000D0EFC">
        <w:rPr>
          <w:rFonts w:cs="Times New Roman"/>
        </w:rPr>
        <w:t>организационни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мерки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FD29A5">
        <w:rPr>
          <w:rFonts w:cs="Times New Roman"/>
        </w:rPr>
        <w:t>за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защита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личните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данни</w:t>
      </w:r>
      <w:proofErr w:type="spellEnd"/>
      <w:r w:rsidRPr="000D0EFC">
        <w:rPr>
          <w:rFonts w:cs="Times New Roman"/>
        </w:rPr>
        <w:t xml:space="preserve">, </w:t>
      </w:r>
      <w:proofErr w:type="spellStart"/>
      <w:r w:rsidRPr="000D0EFC">
        <w:rPr>
          <w:rFonts w:cs="Times New Roman"/>
        </w:rPr>
        <w:t>което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отговаря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обработваните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от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него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лични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данни</w:t>
      </w:r>
      <w:proofErr w:type="spellEnd"/>
      <w:r w:rsidRPr="000D0EFC">
        <w:rPr>
          <w:rFonts w:cs="Times New Roman"/>
        </w:rPr>
        <w:t xml:space="preserve"> и </w:t>
      </w:r>
      <w:proofErr w:type="spellStart"/>
      <w:r w:rsidRPr="000D0EFC">
        <w:rPr>
          <w:rFonts w:cs="Times New Roman"/>
        </w:rPr>
        <w:t>въздействието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при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нарушаване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защитата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им</w:t>
      </w:r>
      <w:proofErr w:type="spellEnd"/>
      <w:r w:rsidRPr="000D0EFC">
        <w:rPr>
          <w:rFonts w:cs="Times New Roman"/>
        </w:rPr>
        <w:t xml:space="preserve">. </w:t>
      </w:r>
      <w:proofErr w:type="spellStart"/>
      <w:r w:rsidRPr="000D0EFC">
        <w:rPr>
          <w:rFonts w:cs="Times New Roman"/>
        </w:rPr>
        <w:t>Оценката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въздействието</w:t>
      </w:r>
      <w:proofErr w:type="spellEnd"/>
      <w:r w:rsidRPr="000D0EFC">
        <w:rPr>
          <w:rFonts w:cs="Times New Roman"/>
        </w:rPr>
        <w:t xml:space="preserve"> е </w:t>
      </w:r>
      <w:proofErr w:type="spellStart"/>
      <w:r w:rsidRPr="000D0EFC">
        <w:rPr>
          <w:rFonts w:cs="Times New Roman"/>
        </w:rPr>
        <w:t>процес</w:t>
      </w:r>
      <w:proofErr w:type="spellEnd"/>
      <w:r w:rsidRPr="000D0EFC">
        <w:rPr>
          <w:rFonts w:cs="Times New Roman"/>
        </w:rPr>
        <w:t xml:space="preserve">, </w:t>
      </w:r>
      <w:proofErr w:type="spellStart"/>
      <w:r w:rsidRPr="000D0EFC">
        <w:rPr>
          <w:rFonts w:cs="Times New Roman"/>
        </w:rPr>
        <w:t>при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който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администраторът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преценява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нивата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рисковете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за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правата</w:t>
      </w:r>
      <w:proofErr w:type="spellEnd"/>
      <w:r w:rsidRPr="000D0EFC">
        <w:rPr>
          <w:rFonts w:cs="Times New Roman"/>
        </w:rPr>
        <w:t xml:space="preserve"> и </w:t>
      </w:r>
      <w:proofErr w:type="spellStart"/>
      <w:r w:rsidRPr="000D0EFC">
        <w:rPr>
          <w:rFonts w:cs="Times New Roman"/>
        </w:rPr>
        <w:t>свободите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субектите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данни</w:t>
      </w:r>
      <w:proofErr w:type="spellEnd"/>
      <w:r w:rsidRPr="000D0EFC">
        <w:rPr>
          <w:rFonts w:cs="Times New Roman"/>
        </w:rPr>
        <w:t xml:space="preserve">. </w:t>
      </w:r>
      <w:proofErr w:type="spellStart"/>
      <w:r w:rsidRPr="000D0EFC">
        <w:rPr>
          <w:rFonts w:cs="Times New Roman"/>
        </w:rPr>
        <w:t>Водещ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критерий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при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тази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преценка</w:t>
      </w:r>
      <w:proofErr w:type="spellEnd"/>
      <w:r w:rsidRPr="000D0EFC">
        <w:rPr>
          <w:rFonts w:cs="Times New Roman"/>
        </w:rPr>
        <w:t xml:space="preserve"> е </w:t>
      </w:r>
      <w:proofErr w:type="spellStart"/>
      <w:r w:rsidRPr="000D0EFC">
        <w:rPr>
          <w:rFonts w:cs="Times New Roman"/>
        </w:rPr>
        <w:t>степента</w:t>
      </w:r>
      <w:proofErr w:type="spellEnd"/>
      <w:r w:rsidRPr="000D0EFC">
        <w:rPr>
          <w:rFonts w:cs="Times New Roman"/>
        </w:rPr>
        <w:t xml:space="preserve"> (</w:t>
      </w:r>
      <w:proofErr w:type="spellStart"/>
      <w:r w:rsidRPr="000D0EFC">
        <w:rPr>
          <w:rFonts w:cs="Times New Roman"/>
        </w:rPr>
        <w:t>нивото</w:t>
      </w:r>
      <w:proofErr w:type="spellEnd"/>
      <w:r w:rsidRPr="000D0EFC">
        <w:rPr>
          <w:rFonts w:cs="Times New Roman"/>
        </w:rPr>
        <w:t xml:space="preserve">)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въздействие</w:t>
      </w:r>
      <w:proofErr w:type="spellEnd"/>
      <w:r w:rsidRPr="000D0EFC">
        <w:rPr>
          <w:rFonts w:cs="Times New Roman"/>
        </w:rPr>
        <w:t xml:space="preserve">, </w:t>
      </w:r>
      <w:proofErr w:type="spellStart"/>
      <w:r w:rsidRPr="000D0EFC">
        <w:rPr>
          <w:rFonts w:cs="Times New Roman"/>
        </w:rPr>
        <w:t>което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нарушаването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поверителността</w:t>
      </w:r>
      <w:proofErr w:type="spellEnd"/>
      <w:r w:rsidRPr="000D0EFC">
        <w:rPr>
          <w:rFonts w:cs="Times New Roman"/>
        </w:rPr>
        <w:t xml:space="preserve">, </w:t>
      </w:r>
      <w:proofErr w:type="spellStart"/>
      <w:r w:rsidRPr="000D0EFC">
        <w:rPr>
          <w:rFonts w:cs="Times New Roman"/>
        </w:rPr>
        <w:t>цялостността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или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наличността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личните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данни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би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оказало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върху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конкретно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физическо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лице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или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група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физически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лица</w:t>
      </w:r>
      <w:proofErr w:type="spellEnd"/>
      <w:r w:rsidRPr="000D0EFC">
        <w:rPr>
          <w:rFonts w:cs="Times New Roman"/>
        </w:rPr>
        <w:t xml:space="preserve"> в </w:t>
      </w:r>
      <w:proofErr w:type="spellStart"/>
      <w:r w:rsidRPr="000D0EFC">
        <w:rPr>
          <w:rFonts w:cs="Times New Roman"/>
        </w:rPr>
        <w:t>зависимост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от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характера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обработваните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лични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данни</w:t>
      </w:r>
      <w:proofErr w:type="spellEnd"/>
      <w:r w:rsidRPr="000D0EFC">
        <w:rPr>
          <w:rFonts w:cs="Times New Roman"/>
        </w:rPr>
        <w:t xml:space="preserve"> и </w:t>
      </w:r>
      <w:proofErr w:type="spellStart"/>
      <w:r w:rsidRPr="000D0EFC">
        <w:rPr>
          <w:rFonts w:cs="Times New Roman"/>
        </w:rPr>
        <w:t>броя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засегнатите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физически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лица</w:t>
      </w:r>
      <w:proofErr w:type="spellEnd"/>
      <w:r w:rsidRPr="000D0EFC">
        <w:rPr>
          <w:rFonts w:cs="Times New Roman"/>
        </w:rPr>
        <w:t>.</w:t>
      </w:r>
    </w:p>
    <w:p w:rsidR="00FD29A5" w:rsidRPr="000D0EFC" w:rsidRDefault="00FD29A5" w:rsidP="00FD29A5">
      <w:pPr>
        <w:spacing w:after="120"/>
        <w:ind w:firstLine="360"/>
        <w:jc w:val="both"/>
        <w:rPr>
          <w:rFonts w:cs="Times New Roman"/>
        </w:rPr>
      </w:pPr>
      <w:r w:rsidRPr="000D0EFC">
        <w:rPr>
          <w:rFonts w:cs="Times New Roman"/>
        </w:rPr>
        <w:t xml:space="preserve">В </w:t>
      </w:r>
      <w:proofErr w:type="spellStart"/>
      <w:r w:rsidRPr="000D0EFC">
        <w:rPr>
          <w:rFonts w:cs="Times New Roman"/>
        </w:rPr>
        <w:t>съответствие</w:t>
      </w:r>
      <w:proofErr w:type="spellEnd"/>
      <w:r w:rsidRPr="000D0EFC">
        <w:rPr>
          <w:rFonts w:cs="Times New Roman"/>
        </w:rPr>
        <w:t xml:space="preserve"> с </w:t>
      </w:r>
      <w:proofErr w:type="spellStart"/>
      <w:r w:rsidRPr="000D0EFC">
        <w:rPr>
          <w:rFonts w:cs="Times New Roman"/>
        </w:rPr>
        <w:t>това</w:t>
      </w:r>
      <w:proofErr w:type="spellEnd"/>
      <w:r w:rsidRPr="000D0EFC">
        <w:rPr>
          <w:rFonts w:cs="Times New Roman"/>
        </w:rPr>
        <w:t xml:space="preserve">, е </w:t>
      </w:r>
      <w:proofErr w:type="spellStart"/>
      <w:r w:rsidRPr="000D0EFC">
        <w:rPr>
          <w:rFonts w:cs="Times New Roman"/>
        </w:rPr>
        <w:t>необходимо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да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се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анализира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вероятността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за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възникване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нарушение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сигурността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данните</w:t>
      </w:r>
      <w:proofErr w:type="spellEnd"/>
      <w:r w:rsidRPr="000D0EFC">
        <w:rPr>
          <w:rFonts w:cs="Times New Roman"/>
        </w:rPr>
        <w:t xml:space="preserve"> и </w:t>
      </w:r>
      <w:proofErr w:type="spellStart"/>
      <w:r w:rsidRPr="000D0EFC">
        <w:rPr>
          <w:rFonts w:cs="Times New Roman"/>
        </w:rPr>
        <w:t>определя</w:t>
      </w:r>
      <w:proofErr w:type="spellEnd"/>
      <w:r w:rsidRPr="000D0EFC">
        <w:rPr>
          <w:rFonts w:cs="Times New Roman"/>
        </w:rPr>
        <w:t xml:space="preserve"> 4 </w:t>
      </w:r>
      <w:proofErr w:type="spellStart"/>
      <w:r w:rsidRPr="000D0EFC">
        <w:rPr>
          <w:rFonts w:cs="Times New Roman"/>
        </w:rPr>
        <w:t>нива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въздействие</w:t>
      </w:r>
      <w:proofErr w:type="spellEnd"/>
      <w:r w:rsidRPr="000D0EFC">
        <w:rPr>
          <w:rFonts w:cs="Times New Roman"/>
        </w:rPr>
        <w:t xml:space="preserve"> – </w:t>
      </w:r>
      <w:proofErr w:type="spellStart"/>
      <w:r w:rsidRPr="000D0EFC">
        <w:rPr>
          <w:rFonts w:cs="Times New Roman"/>
        </w:rPr>
        <w:t>ниско</w:t>
      </w:r>
      <w:proofErr w:type="spellEnd"/>
      <w:r w:rsidRPr="000D0EFC">
        <w:rPr>
          <w:rFonts w:cs="Times New Roman"/>
        </w:rPr>
        <w:t xml:space="preserve">, </w:t>
      </w:r>
      <w:proofErr w:type="spellStart"/>
      <w:r w:rsidRPr="000D0EFC">
        <w:rPr>
          <w:rFonts w:cs="Times New Roman"/>
        </w:rPr>
        <w:t>средно</w:t>
      </w:r>
      <w:proofErr w:type="spellEnd"/>
      <w:r w:rsidRPr="000D0EFC">
        <w:rPr>
          <w:rFonts w:cs="Times New Roman"/>
        </w:rPr>
        <w:t xml:space="preserve">, </w:t>
      </w:r>
      <w:proofErr w:type="spellStart"/>
      <w:r w:rsidRPr="000D0EFC">
        <w:rPr>
          <w:rFonts w:cs="Times New Roman"/>
        </w:rPr>
        <w:t>високо</w:t>
      </w:r>
      <w:proofErr w:type="spellEnd"/>
      <w:r w:rsidRPr="000D0EFC">
        <w:rPr>
          <w:rFonts w:cs="Times New Roman"/>
        </w:rPr>
        <w:t xml:space="preserve"> и </w:t>
      </w:r>
      <w:proofErr w:type="spellStart"/>
      <w:r w:rsidRPr="000D0EFC">
        <w:rPr>
          <w:rFonts w:cs="Times New Roman"/>
        </w:rPr>
        <w:t>изключително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високо</w:t>
      </w:r>
      <w:proofErr w:type="spellEnd"/>
      <w:r w:rsidRPr="000D0EFC">
        <w:rPr>
          <w:rFonts w:cs="Times New Roman"/>
        </w:rPr>
        <w:t>.</w:t>
      </w:r>
    </w:p>
    <w:p w:rsidR="00FD29A5" w:rsidRPr="000D0EFC" w:rsidRDefault="00FD29A5" w:rsidP="00FD29A5">
      <w:pPr>
        <w:spacing w:after="120"/>
        <w:ind w:firstLine="360"/>
        <w:jc w:val="both"/>
        <w:rPr>
          <w:rFonts w:cs="Times New Roman"/>
        </w:rPr>
      </w:pPr>
      <w:proofErr w:type="spellStart"/>
      <w:r w:rsidRPr="000D0EFC">
        <w:rPr>
          <w:rFonts w:cs="Times New Roman"/>
        </w:rPr>
        <w:t>При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извършването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ОВЗД, </w:t>
      </w:r>
      <w:proofErr w:type="spellStart"/>
      <w:r w:rsidRPr="000D0EFC">
        <w:rPr>
          <w:rFonts w:cs="Times New Roman"/>
        </w:rPr>
        <w:t>се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използва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следната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матрица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за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степенуване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въздействието</w:t>
      </w:r>
      <w:proofErr w:type="spellEnd"/>
      <w:r w:rsidRPr="000D0EFC">
        <w:rPr>
          <w:rFonts w:cs="Times New Roman"/>
        </w:rPr>
        <w:t xml:space="preserve"> </w:t>
      </w:r>
      <w:r w:rsidRPr="000D0EFC">
        <w:rPr>
          <w:rFonts w:cs="Times New Roman"/>
          <w:lang w:val="ru-RU"/>
        </w:rPr>
        <w:t>(</w:t>
      </w:r>
      <w:proofErr w:type="spellStart"/>
      <w:r w:rsidRPr="000D0EFC">
        <w:rPr>
          <w:rFonts w:cs="Times New Roman"/>
        </w:rPr>
        <w:t>риска</w:t>
      </w:r>
      <w:proofErr w:type="spellEnd"/>
      <w:r w:rsidRPr="000D0EFC">
        <w:rPr>
          <w:rFonts w:cs="Times New Roman"/>
          <w:lang w:val="ru-RU"/>
        </w:rPr>
        <w:t>)</w:t>
      </w:r>
      <w:r w:rsidRPr="000D0EFC">
        <w:rPr>
          <w:rFonts w:cs="Times New Roman"/>
        </w:rPr>
        <w:t xml:space="preserve">, </w:t>
      </w:r>
      <w:proofErr w:type="spellStart"/>
      <w:r w:rsidRPr="000D0EFC">
        <w:rPr>
          <w:rFonts w:cs="Times New Roman"/>
        </w:rPr>
        <w:t>отчитаща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вероятността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за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настъпване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съответното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нарушение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сигурността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данните</w:t>
      </w:r>
      <w:proofErr w:type="spellEnd"/>
      <w:r w:rsidRPr="000D0EFC">
        <w:rPr>
          <w:rFonts w:cs="Times New Roman"/>
        </w:rPr>
        <w:t xml:space="preserve"> и </w:t>
      </w:r>
      <w:proofErr w:type="spellStart"/>
      <w:r w:rsidRPr="000D0EFC">
        <w:rPr>
          <w:rFonts w:cs="Times New Roman"/>
        </w:rPr>
        <w:t>величината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потенциалните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неблагоприятни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последици</w:t>
      </w:r>
      <w:proofErr w:type="spellEnd"/>
      <w:r w:rsidRPr="000D0EFC">
        <w:rPr>
          <w:rFonts w:cs="Times New Roman"/>
        </w:rPr>
        <w:t xml:space="preserve"> </w:t>
      </w:r>
      <w:r w:rsidRPr="000D0EFC">
        <w:rPr>
          <w:rFonts w:cs="Times New Roman"/>
          <w:lang w:val="ru-RU"/>
        </w:rPr>
        <w:t>(</w:t>
      </w:r>
      <w:proofErr w:type="spellStart"/>
      <w:r w:rsidRPr="000D0EFC">
        <w:rPr>
          <w:rFonts w:cs="Times New Roman"/>
        </w:rPr>
        <w:t>вреди</w:t>
      </w:r>
      <w:proofErr w:type="spellEnd"/>
      <w:r w:rsidRPr="000D0EFC">
        <w:rPr>
          <w:rFonts w:cs="Times New Roman"/>
          <w:lang w:val="ru-RU"/>
        </w:rPr>
        <w:t>)</w:t>
      </w:r>
      <w:r w:rsidRPr="000D0EFC">
        <w:rPr>
          <w:rFonts w:cs="Times New Roman"/>
        </w:rPr>
        <w:t>:</w:t>
      </w:r>
    </w:p>
    <w:p w:rsidR="00FD29A5" w:rsidRPr="000D0EFC" w:rsidRDefault="00FD29A5" w:rsidP="00FD29A5">
      <w:pPr>
        <w:spacing w:after="120"/>
        <w:ind w:firstLine="360"/>
        <w:jc w:val="both"/>
        <w:rPr>
          <w:rFonts w:cs="Times New Roman"/>
        </w:rPr>
      </w:pPr>
    </w:p>
    <w:tbl>
      <w:tblPr>
        <w:tblStyle w:val="TableGrid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701"/>
        <w:gridCol w:w="1701"/>
        <w:gridCol w:w="1853"/>
      </w:tblGrid>
      <w:tr w:rsidR="00FD29A5" w:rsidRPr="000D0EFC" w:rsidTr="00B12610">
        <w:trPr>
          <w:jc w:val="center"/>
        </w:trPr>
        <w:tc>
          <w:tcPr>
            <w:tcW w:w="2405" w:type="dxa"/>
            <w:gridSpan w:val="2"/>
            <w:vMerge w:val="restart"/>
            <w:shd w:val="clear" w:color="auto" w:fill="C9C9C9" w:themeFill="accent3" w:themeFillTint="99"/>
            <w:vAlign w:val="center"/>
          </w:tcPr>
          <w:p w:rsidR="00FD29A5" w:rsidRPr="000D0EFC" w:rsidRDefault="00FD29A5" w:rsidP="00B12610">
            <w:pPr>
              <w:spacing w:before="120" w:after="120"/>
              <w:jc w:val="both"/>
              <w:rPr>
                <w:rFonts w:cs="Times New Roman"/>
                <w:b/>
                <w:lang w:val="bg-BG"/>
              </w:rPr>
            </w:pPr>
          </w:p>
        </w:tc>
        <w:tc>
          <w:tcPr>
            <w:tcW w:w="6956" w:type="dxa"/>
            <w:gridSpan w:val="4"/>
            <w:shd w:val="clear" w:color="auto" w:fill="auto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Последици</w:t>
            </w:r>
          </w:p>
        </w:tc>
      </w:tr>
      <w:tr w:rsidR="00FD29A5" w:rsidRPr="000D0EFC" w:rsidTr="00B12610">
        <w:trPr>
          <w:jc w:val="center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FD29A5" w:rsidRPr="000D0EFC" w:rsidRDefault="00FD29A5" w:rsidP="00B12610">
            <w:pPr>
              <w:spacing w:before="120" w:after="120"/>
              <w:jc w:val="both"/>
              <w:rPr>
                <w:rFonts w:cs="Times New Roman"/>
                <w:b/>
                <w:lang w:val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Ограничени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Средни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Тежки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Много тежки</w:t>
            </w:r>
          </w:p>
        </w:tc>
      </w:tr>
      <w:tr w:rsidR="00FD29A5" w:rsidRPr="000D0EFC" w:rsidTr="00B12610">
        <w:trPr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FD29A5" w:rsidRPr="000D0EFC" w:rsidRDefault="00FD29A5" w:rsidP="00B12610">
            <w:pPr>
              <w:spacing w:before="60" w:after="120"/>
              <w:ind w:left="113" w:right="113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Вероятност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Малка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lastRenderedPageBreak/>
              <w:t>Ниско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- 1 -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Средно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- 4 -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Средно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- 6 -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Високо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- 10 -</w:t>
            </w:r>
          </w:p>
        </w:tc>
      </w:tr>
      <w:tr w:rsidR="00FD29A5" w:rsidRPr="000D0EFC" w:rsidTr="00B12610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FD29A5" w:rsidRPr="000D0EFC" w:rsidRDefault="00FD29A5" w:rsidP="00B12610">
            <w:pPr>
              <w:spacing w:before="120" w:after="120"/>
              <w:jc w:val="both"/>
              <w:rPr>
                <w:rFonts w:cs="Times New Roman"/>
                <w:b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Средна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Ниско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- 2 -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Средно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- 5 -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Високо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- 8 -</w:t>
            </w:r>
          </w:p>
        </w:tc>
        <w:tc>
          <w:tcPr>
            <w:tcW w:w="1853" w:type="dxa"/>
            <w:shd w:val="clear" w:color="auto" w:fill="C00000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lang w:val="bg-BG"/>
              </w:rPr>
            </w:pPr>
            <w:r w:rsidRPr="000D0EFC">
              <w:rPr>
                <w:rFonts w:cs="Times New Roman"/>
                <w:b/>
                <w:color w:val="000000" w:themeColor="text1"/>
                <w:lang w:val="bg-BG"/>
              </w:rPr>
              <w:t>Изключително високо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lang w:val="bg-BG"/>
              </w:rPr>
            </w:pPr>
            <w:r w:rsidRPr="000D0EFC">
              <w:rPr>
                <w:rFonts w:cs="Times New Roman"/>
                <w:b/>
                <w:color w:val="000000" w:themeColor="text1"/>
                <w:lang w:val="bg-BG"/>
              </w:rPr>
              <w:t>- 11 -</w:t>
            </w:r>
          </w:p>
        </w:tc>
      </w:tr>
      <w:tr w:rsidR="00FD29A5" w:rsidRPr="000D0EFC" w:rsidTr="00B12610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FD29A5" w:rsidRPr="000D0EFC" w:rsidRDefault="00FD29A5" w:rsidP="00B12610">
            <w:pPr>
              <w:spacing w:before="120" w:after="120"/>
              <w:jc w:val="both"/>
              <w:rPr>
                <w:rFonts w:cs="Times New Roman"/>
                <w:b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Висока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Средно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- 3 -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Високо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- 7 -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Високо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lang w:val="bg-BG"/>
              </w:rPr>
            </w:pPr>
            <w:r w:rsidRPr="000D0EFC">
              <w:rPr>
                <w:rFonts w:cs="Times New Roman"/>
                <w:b/>
                <w:lang w:val="bg-BG"/>
              </w:rPr>
              <w:t>- 9 -</w:t>
            </w:r>
          </w:p>
        </w:tc>
        <w:tc>
          <w:tcPr>
            <w:tcW w:w="1853" w:type="dxa"/>
            <w:shd w:val="clear" w:color="auto" w:fill="C00000"/>
            <w:vAlign w:val="center"/>
          </w:tcPr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lang w:val="bg-BG"/>
              </w:rPr>
            </w:pPr>
            <w:r w:rsidRPr="000D0EFC">
              <w:rPr>
                <w:rFonts w:cs="Times New Roman"/>
                <w:b/>
                <w:color w:val="000000" w:themeColor="text1"/>
                <w:lang w:val="bg-BG"/>
              </w:rPr>
              <w:t>Изключително високо</w:t>
            </w:r>
          </w:p>
          <w:p w:rsidR="00FD29A5" w:rsidRPr="000D0EFC" w:rsidRDefault="00FD29A5" w:rsidP="00B12610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lang w:val="bg-BG"/>
              </w:rPr>
            </w:pPr>
            <w:r w:rsidRPr="000D0EFC">
              <w:rPr>
                <w:rFonts w:cs="Times New Roman"/>
                <w:b/>
                <w:color w:val="000000" w:themeColor="text1"/>
                <w:lang w:val="bg-BG"/>
              </w:rPr>
              <w:t>- 12 -</w:t>
            </w:r>
          </w:p>
        </w:tc>
      </w:tr>
    </w:tbl>
    <w:p w:rsidR="00FD29A5" w:rsidRPr="00FD29A5" w:rsidRDefault="00FD29A5" w:rsidP="00FD29A5">
      <w:pPr>
        <w:spacing w:before="240" w:after="12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proofErr w:type="spellStart"/>
      <w:r w:rsidRPr="000D0EFC">
        <w:rPr>
          <w:rFonts w:cs="Times New Roman"/>
        </w:rPr>
        <w:t>При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определянето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степента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риска</w:t>
      </w:r>
      <w:proofErr w:type="spellEnd"/>
      <w:r w:rsidRPr="000D0EFC">
        <w:rPr>
          <w:rFonts w:cs="Times New Roman"/>
        </w:rPr>
        <w:t xml:space="preserve"> </w:t>
      </w:r>
      <w:r>
        <w:rPr>
          <w:rStyle w:val="SGDPRAdministratorNameChar"/>
          <w:rFonts w:cs="Times New Roman"/>
        </w:rPr>
        <w:t xml:space="preserve"> </w:t>
      </w:r>
      <w:r w:rsidR="00D92CC5">
        <w:rPr>
          <w:rStyle w:val="SGDPRAdministratorNameChar"/>
          <w:rFonts w:cs="Times New Roman"/>
          <w:color w:val="auto"/>
        </w:rPr>
        <w:t>учебното</w:t>
      </w:r>
      <w:r w:rsidRPr="009259EF">
        <w:rPr>
          <w:rStyle w:val="SGDPRAdministratorNameChar"/>
          <w:rFonts w:cs="Times New Roman"/>
          <w:color w:val="auto"/>
        </w:rPr>
        <w:t xml:space="preserve"> заведение </w:t>
      </w:r>
      <w:proofErr w:type="spellStart"/>
      <w:r w:rsidRPr="000D0EFC">
        <w:rPr>
          <w:rFonts w:cs="Times New Roman"/>
        </w:rPr>
        <w:t>се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ръководи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от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критериите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за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вероятен</w:t>
      </w:r>
      <w:proofErr w:type="spellEnd"/>
      <w:r w:rsidRPr="000D0EFC">
        <w:rPr>
          <w:rFonts w:cs="Times New Roman"/>
        </w:rPr>
        <w:t xml:space="preserve"> „</w:t>
      </w:r>
      <w:proofErr w:type="spellStart"/>
      <w:r w:rsidRPr="000D0EFC">
        <w:rPr>
          <w:rFonts w:cs="Times New Roman"/>
        </w:rPr>
        <w:t>висок</w:t>
      </w:r>
      <w:proofErr w:type="spellEnd"/>
      <w:r w:rsidRPr="000D0EFC">
        <w:rPr>
          <w:rFonts w:cs="Times New Roman"/>
        </w:rPr>
        <w:t xml:space="preserve"> </w:t>
      </w:r>
      <w:proofErr w:type="spellStart"/>
      <w:r w:rsidRPr="000D0EFC">
        <w:rPr>
          <w:rFonts w:cs="Times New Roman"/>
        </w:rPr>
        <w:t>риск</w:t>
      </w:r>
      <w:proofErr w:type="spellEnd"/>
      <w:r w:rsidRPr="000D0EFC">
        <w:rPr>
          <w:rFonts w:cs="Times New Roman"/>
        </w:rPr>
        <w:t xml:space="preserve">“ </w:t>
      </w:r>
      <w:proofErr w:type="spellStart"/>
      <w:r w:rsidRPr="000D0EFC">
        <w:rPr>
          <w:rFonts w:cs="Times New Roman"/>
        </w:rPr>
        <w:t>на</w:t>
      </w:r>
      <w:proofErr w:type="spellEnd"/>
      <w:r w:rsidRPr="000D0EFC">
        <w:rPr>
          <w:rFonts w:cs="Times New Roman"/>
        </w:rPr>
        <w:t xml:space="preserve"> </w:t>
      </w:r>
      <w:hyperlink r:id="rId10" w:history="1">
        <w:proofErr w:type="spellStart"/>
        <w:r w:rsidRPr="000D0EFC">
          <w:rPr>
            <w:rStyle w:val="Hyperlink"/>
            <w:rFonts w:cs="Times New Roman"/>
          </w:rPr>
          <w:t>член</w:t>
        </w:r>
        <w:proofErr w:type="spellEnd"/>
        <w:r w:rsidRPr="000D0EFC">
          <w:rPr>
            <w:rStyle w:val="Hyperlink"/>
            <w:rFonts w:cs="Times New Roman"/>
          </w:rPr>
          <w:t xml:space="preserve"> 35, </w:t>
        </w:r>
        <w:proofErr w:type="spellStart"/>
        <w:r w:rsidRPr="000D0EFC">
          <w:rPr>
            <w:rStyle w:val="Hyperlink"/>
            <w:rFonts w:cs="Times New Roman"/>
          </w:rPr>
          <w:t>параграф</w:t>
        </w:r>
        <w:proofErr w:type="spellEnd"/>
        <w:r w:rsidRPr="000D0EFC">
          <w:rPr>
            <w:rStyle w:val="Hyperlink"/>
            <w:rFonts w:cs="Times New Roman"/>
          </w:rPr>
          <w:t xml:space="preserve"> 3 </w:t>
        </w:r>
        <w:proofErr w:type="spellStart"/>
        <w:r w:rsidRPr="000D0EFC">
          <w:rPr>
            <w:rStyle w:val="Hyperlink"/>
            <w:rFonts w:cs="Times New Roman"/>
          </w:rPr>
          <w:t>от</w:t>
        </w:r>
        <w:proofErr w:type="spellEnd"/>
        <w:r w:rsidRPr="000D0EFC">
          <w:rPr>
            <w:rStyle w:val="Hyperlink"/>
            <w:rFonts w:cs="Times New Roman"/>
          </w:rPr>
          <w:t xml:space="preserve"> ОРЗД</w:t>
        </w:r>
      </w:hyperlink>
      <w:r w:rsidRPr="000D0EFC">
        <w:rPr>
          <w:rFonts w:cs="Times New Roman"/>
        </w:rPr>
        <w:t xml:space="preserve"> и </w:t>
      </w:r>
      <w:hyperlink r:id="rId11" w:history="1">
        <w:proofErr w:type="spellStart"/>
        <w:r w:rsidRPr="000D0EFC">
          <w:rPr>
            <w:rStyle w:val="Hyperlink"/>
            <w:rFonts w:cs="Times New Roman"/>
          </w:rPr>
          <w:t>Насоките</w:t>
        </w:r>
        <w:proofErr w:type="spellEnd"/>
      </w:hyperlink>
      <w:r w:rsidRPr="000D0EFC">
        <w:rPr>
          <w:rStyle w:val="FootnoteReference"/>
          <w:rFonts w:cs="Times New Roman"/>
        </w:rPr>
        <w:footnoteReference w:id="2"/>
      </w:r>
      <w:r w:rsidRPr="000D0EFC">
        <w:rPr>
          <w:rFonts w:cs="Times New Roman"/>
        </w:rPr>
        <w:t xml:space="preserve">. В </w:t>
      </w:r>
      <w:proofErr w:type="spellStart"/>
      <w:r w:rsidRPr="000D0EFC">
        <w:rPr>
          <w:rFonts w:cs="Times New Roman"/>
        </w:rPr>
        <w:t>допълнение</w:t>
      </w:r>
      <w:proofErr w:type="spellEnd"/>
      <w:r w:rsidRPr="000D0EFC">
        <w:rPr>
          <w:rFonts w:cs="Times New Roman"/>
        </w:rPr>
        <w:t xml:space="preserve">, </w:t>
      </w:r>
      <w:proofErr w:type="spellStart"/>
      <w:r w:rsidRPr="000D0EFC">
        <w:rPr>
          <w:rFonts w:cs="Times New Roman"/>
        </w:rPr>
        <w:t>наред</w:t>
      </w:r>
      <w:proofErr w:type="spellEnd"/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с преките рискове за правата и свободите на физическите лица, произтичащи от обработката на лични данни, организацията отчита също и рисковете за бизнеса (репутационни, правни и т.н.), както и целите и задълженията на самата организация (регулаторни и договорни).</w:t>
      </w:r>
    </w:p>
    <w:p w:rsidR="00F602D4" w:rsidRDefault="00FD29A5" w:rsidP="00FD29A5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В зависимост от определеното ниво </w:t>
      </w:r>
      <w:r w:rsidR="00D92CC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на въздействие, ОУ, СУ, ПГ</w:t>
      </w:r>
    </w:p>
    <w:p w:rsidR="00FD29A5" w:rsidRPr="00FD29A5" w:rsidRDefault="009259EF" w:rsidP="00FD29A5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.........................</w:t>
      </w:r>
      <w:r w:rsidR="00FD29A5"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извършва: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1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) 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приоритизиране на идентифицираните рискове, и 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2) 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определя адекватно ниво на защита, включващо техническите и организационни мерки, които трябва да предприеме за тяхното преките рискове ограничаване.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Редът на </w:t>
      </w:r>
      <w:r w:rsidRPr="00FD29A5">
        <w:rPr>
          <w:rFonts w:ascii="Times New Roman" w:eastAsia="SimSun" w:hAnsi="Times New Roman" w:cs="Times New Roman"/>
          <w:b/>
          <w:kern w:val="1"/>
          <w:sz w:val="24"/>
          <w:szCs w:val="24"/>
          <w:lang w:val="bg-BG" w:eastAsia="hi-IN" w:bidi="hi-IN"/>
        </w:rPr>
        <w:t>приоритизиране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на идентифицираните рискове е, както следва:</w:t>
      </w:r>
    </w:p>
    <w:p w:rsidR="00FD29A5" w:rsidRPr="00FD29A5" w:rsidRDefault="00FD29A5" w:rsidP="00FD29A5">
      <w:pPr>
        <w:widowControl w:val="0"/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 xml:space="preserve">Рисковете с висока тежест на последиците и вероятност за настъпване </w:t>
      </w:r>
      <w:r w:rsidRPr="00FD29A5">
        <w:rPr>
          <w:rFonts w:ascii="Times New Roman" w:hAnsi="Times New Roman" w:cs="Times New Roman"/>
          <w:sz w:val="24"/>
          <w:szCs w:val="24"/>
          <w:lang w:val="ru-RU"/>
        </w:rPr>
        <w:t>(8, 9</w:t>
      </w:r>
      <w:r w:rsidRPr="00FD29A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D29A5">
        <w:rPr>
          <w:rFonts w:ascii="Times New Roman" w:hAnsi="Times New Roman" w:cs="Times New Roman"/>
          <w:sz w:val="24"/>
          <w:szCs w:val="24"/>
          <w:lang w:val="ru-RU"/>
        </w:rPr>
        <w:t xml:space="preserve"> 11</w:t>
      </w:r>
      <w:r w:rsidRPr="00FD29A5">
        <w:rPr>
          <w:rFonts w:ascii="Times New Roman" w:hAnsi="Times New Roman" w:cs="Times New Roman"/>
          <w:sz w:val="24"/>
          <w:szCs w:val="24"/>
          <w:lang w:val="bg-BG"/>
        </w:rPr>
        <w:t xml:space="preserve"> и 12</w:t>
      </w:r>
      <w:r w:rsidRPr="00FD29A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FD29A5">
        <w:rPr>
          <w:rFonts w:ascii="Times New Roman" w:hAnsi="Times New Roman" w:cs="Times New Roman"/>
          <w:sz w:val="24"/>
          <w:szCs w:val="24"/>
          <w:lang w:val="bg-BG"/>
        </w:rPr>
        <w:t>трябва да бъдат напълно избегнати или ограничени чрез прилагане на мерки за сигурност, които намаляват както тежестта им, така и тяхната вероятност. В плана за управление на рисковете следва да се предвидят както мерки за предотвратяване (действия, предприети преди вредно събитие), така и за защита (действия, предприети по време на вредно събитие) и възстановяване (действия, предприети след вредно събитие).</w:t>
      </w:r>
    </w:p>
    <w:p w:rsidR="00FD29A5" w:rsidRPr="00FD29A5" w:rsidRDefault="00FD29A5" w:rsidP="00FD29A5">
      <w:pPr>
        <w:widowControl w:val="0"/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 xml:space="preserve">Рисковете с висока тежест, но с малка вероятност </w:t>
      </w:r>
      <w:r w:rsidRPr="00FD29A5">
        <w:rPr>
          <w:rFonts w:ascii="Times New Roman" w:hAnsi="Times New Roman" w:cs="Times New Roman"/>
          <w:sz w:val="24"/>
          <w:szCs w:val="24"/>
          <w:lang w:val="ru-RU"/>
        </w:rPr>
        <w:t xml:space="preserve">(6, 10) </w:t>
      </w:r>
      <w:r w:rsidRPr="00FD29A5">
        <w:rPr>
          <w:rFonts w:ascii="Times New Roman" w:hAnsi="Times New Roman" w:cs="Times New Roman"/>
          <w:sz w:val="24"/>
          <w:szCs w:val="24"/>
          <w:lang w:val="bg-BG"/>
        </w:rPr>
        <w:t xml:space="preserve">трябва да се избягват или ограничават чрез прилагане на мерки за сигурност, които намаляват тежестта на последиците или вероятността за настъпването им. </w:t>
      </w:r>
      <w:r w:rsidRPr="00FD29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Приоритет следва да имат преди всичко на мерките за предотвратяване </w:t>
      </w:r>
      <w:r w:rsidRPr="00FD29A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D29A5">
        <w:rPr>
          <w:rFonts w:ascii="Times New Roman" w:hAnsi="Times New Roman" w:cs="Times New Roman"/>
          <w:sz w:val="24"/>
          <w:szCs w:val="24"/>
          <w:lang w:val="bg-BG"/>
        </w:rPr>
        <w:t>превантивните мерки</w:t>
      </w:r>
      <w:r w:rsidRPr="00FD29A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D29A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D29A5" w:rsidRPr="00FD29A5" w:rsidRDefault="00FD29A5" w:rsidP="00FD29A5">
      <w:pPr>
        <w:widowControl w:val="0"/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Рисковете с малка тежест, но с голяма вероятност за настъпване</w:t>
      </w:r>
      <w:r w:rsidRPr="00FD29A5">
        <w:rPr>
          <w:rFonts w:ascii="Times New Roman" w:hAnsi="Times New Roman" w:cs="Times New Roman"/>
          <w:sz w:val="24"/>
          <w:szCs w:val="24"/>
          <w:lang w:val="ru-RU"/>
        </w:rPr>
        <w:t xml:space="preserve"> (3, 7)</w:t>
      </w:r>
      <w:r w:rsidRPr="00FD29A5">
        <w:rPr>
          <w:rFonts w:ascii="Times New Roman" w:hAnsi="Times New Roman" w:cs="Times New Roman"/>
          <w:sz w:val="24"/>
          <w:szCs w:val="24"/>
          <w:lang w:val="bg-BG"/>
        </w:rPr>
        <w:t xml:space="preserve">, трябва да бъдат ограничавани чрез прилагане на мерки за сигурност, които намаляват тяхната вероятност. </w:t>
      </w:r>
      <w:r w:rsidRPr="00FD29A5">
        <w:rPr>
          <w:rFonts w:ascii="Times New Roman" w:hAnsi="Times New Roman" w:cs="Times New Roman"/>
          <w:b/>
          <w:sz w:val="24"/>
          <w:szCs w:val="24"/>
          <w:lang w:val="bg-BG"/>
        </w:rPr>
        <w:t>Трябва да се наблегне обаче на мерките за възстановяване</w:t>
      </w:r>
      <w:r w:rsidRPr="00FD29A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D29A5" w:rsidRPr="00FD29A5" w:rsidRDefault="00FD29A5" w:rsidP="00FD29A5">
      <w:pPr>
        <w:widowControl w:val="0"/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 xml:space="preserve">Рискове с ниска тежест и вероятност </w:t>
      </w:r>
      <w:r w:rsidRPr="00FD29A5">
        <w:rPr>
          <w:rFonts w:ascii="Times New Roman" w:hAnsi="Times New Roman" w:cs="Times New Roman"/>
          <w:sz w:val="24"/>
          <w:szCs w:val="24"/>
          <w:lang w:val="ru-RU"/>
        </w:rPr>
        <w:t xml:space="preserve">(1, 2, 4, 5) </w:t>
      </w:r>
      <w:r w:rsidRPr="00FD29A5">
        <w:rPr>
          <w:rFonts w:ascii="Times New Roman" w:hAnsi="Times New Roman" w:cs="Times New Roman"/>
          <w:sz w:val="24"/>
          <w:szCs w:val="24"/>
          <w:lang w:val="bg-BG"/>
        </w:rPr>
        <w:t>могат да бъдат третирани на по-късен етап, още повече че прилагането на мерките спрямо рисковете с по-висок приоритет може да доведе до тяхното елиминиране или значително ограничаване.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lastRenderedPageBreak/>
        <w:t xml:space="preserve">На следващо място, в зависимост от приоритизацията на рисковете и идентифицираното ниво </w:t>
      </w:r>
      <w:r w:rsidR="00F602D4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на въздействие, ОУ, СУ,ПГ</w:t>
      </w:r>
      <w:r w:rsidR="009259EF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.......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определя съответно ниво на защита – ниско, средно, високо или изключително високо, както и организационните и технически мерки, адекватни на така определеното ниво.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Минималното необходимото съдържание на ОВЗД </w:t>
      </w:r>
      <w:r w:rsidRPr="00FD29A5">
        <w:rPr>
          <w:rFonts w:ascii="Times New Roman" w:eastAsia="SimSun" w:hAnsi="Times New Roman" w:cs="Times New Roman"/>
          <w:i/>
          <w:kern w:val="1"/>
          <w:sz w:val="24"/>
          <w:szCs w:val="24"/>
          <w:lang w:val="bg-BG" w:eastAsia="hi-IN" w:bidi="hi-IN"/>
        </w:rPr>
        <w:t>/</w:t>
      </w:r>
      <w:hyperlink r:id="rId12" w:history="1">
        <w:r w:rsidRPr="00FD29A5">
          <w:rPr>
            <w:rFonts w:ascii="Times New Roman" w:eastAsia="SimSun" w:hAnsi="Times New Roman" w:cs="Times New Roman"/>
            <w:i/>
            <w:color w:val="0000FF"/>
            <w:kern w:val="1"/>
            <w:sz w:val="24"/>
            <w:szCs w:val="24"/>
            <w:u w:val="single"/>
            <w:lang w:val="bg-BG" w:eastAsia="hi-IN" w:bidi="hi-IN"/>
          </w:rPr>
          <w:t>член 35, параграф 7 от ОРЗД</w:t>
        </w:r>
      </w:hyperlink>
      <w:r w:rsidRPr="00FD29A5">
        <w:rPr>
          <w:rFonts w:ascii="Times New Roman" w:eastAsia="SimSun" w:hAnsi="Times New Roman" w:cs="Times New Roman"/>
          <w:i/>
          <w:color w:val="0000FF"/>
          <w:kern w:val="1"/>
          <w:sz w:val="24"/>
          <w:szCs w:val="24"/>
          <w:u w:val="single"/>
          <w:lang w:val="bg-BG" w:eastAsia="hi-IN" w:bidi="hi-IN"/>
        </w:rPr>
        <w:t>/</w:t>
      </w:r>
      <w:r w:rsidRPr="00FD29A5">
        <w:rPr>
          <w:rFonts w:ascii="Times New Roman" w:eastAsia="SimSun" w:hAnsi="Times New Roman" w:cs="Times New Roman"/>
          <w:i/>
          <w:kern w:val="1"/>
          <w:sz w:val="24"/>
          <w:szCs w:val="24"/>
          <w:lang w:val="bg-BG" w:eastAsia="hi-IN" w:bidi="hi-IN"/>
        </w:rPr>
        <w:t>,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е:</w:t>
      </w:r>
    </w:p>
    <w:p w:rsidR="00FD29A5" w:rsidRPr="00FD29A5" w:rsidRDefault="00FD29A5" w:rsidP="00FD29A5">
      <w:pPr>
        <w:widowControl w:val="0"/>
        <w:numPr>
          <w:ilvl w:val="0"/>
          <w:numId w:val="5"/>
        </w:numPr>
        <w:suppressAutoHyphens/>
        <w:spacing w:after="12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системен опис на предвидените операции по обработване и целите на обработването, включително, ако е приложимо, преследвания от администратора законен интерес;</w:t>
      </w:r>
    </w:p>
    <w:p w:rsidR="00FD29A5" w:rsidRPr="00FD29A5" w:rsidRDefault="00FD29A5" w:rsidP="00FD29A5">
      <w:pPr>
        <w:widowControl w:val="0"/>
        <w:numPr>
          <w:ilvl w:val="0"/>
          <w:numId w:val="5"/>
        </w:numPr>
        <w:suppressAutoHyphens/>
        <w:spacing w:after="12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оценка на необходимостта и пропорционалността на операциите по обработване по отношение на целите;</w:t>
      </w:r>
    </w:p>
    <w:p w:rsidR="00FD29A5" w:rsidRPr="00FD29A5" w:rsidRDefault="00FD29A5" w:rsidP="00FD29A5">
      <w:pPr>
        <w:widowControl w:val="0"/>
        <w:numPr>
          <w:ilvl w:val="0"/>
          <w:numId w:val="5"/>
        </w:numPr>
        <w:suppressAutoHyphens/>
        <w:spacing w:after="12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оценка на рисковете за правата и свободите на субектите на данни; и</w:t>
      </w:r>
    </w:p>
    <w:p w:rsidR="00FD29A5" w:rsidRPr="00FD29A5" w:rsidRDefault="00FD29A5" w:rsidP="00FD29A5">
      <w:pPr>
        <w:widowControl w:val="0"/>
        <w:numPr>
          <w:ilvl w:val="0"/>
          <w:numId w:val="5"/>
        </w:numPr>
        <w:suppressAutoHyphens/>
        <w:spacing w:after="12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мерките, предвидени за справяне с рисковете, включително гаранциите, мерките за сигурност и механизмите за осигуряване на защитата на личните данни и за демонстриране на спазването на ОРЗД.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След консултация с Длъжностното лице по защ</w:t>
      </w:r>
      <w:r w:rsidR="00F602D4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ита на данните ОУ, СУ,ПГ</w:t>
      </w:r>
      <w:r w:rsidR="009259EF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.......................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одобрява и подписва ОВЗД за всяка подлежаща на оценка на въздействието дейност.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Освен при започване на нова</w:t>
      </w:r>
      <w:r w:rsidR="00F602D4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дейност/проект,ОУ, СУ, ПГ</w:t>
      </w:r>
      <w:r w:rsidR="009259EF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................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прави преглед за необходимостта от извършване на оценка на въздействието и при всяка промяна в риска, с който са свързани вече съществуващи операции по обработване 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(</w:t>
      </w:r>
      <w:hyperlink r:id="rId13" w:history="1">
        <w:r w:rsidRPr="00FD29A5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bg-BG" w:eastAsia="hi-IN" w:bidi="hi-IN"/>
          </w:rPr>
          <w:t>член 35, параграф 11 от ОРЗД</w:t>
        </w:r>
      </w:hyperlink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)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. ОВЗД следва постоянно да се преразглежда и да подлежи на редовна повторна оценка. Пълният цикъл на повтарящия се процес на извършване на ОВЗД е онагледен в </w:t>
      </w:r>
      <w:hyperlink r:id="rId14" w:history="1">
        <w:r w:rsidRPr="00FD29A5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bg-BG" w:eastAsia="hi-IN" w:bidi="hi-IN"/>
          </w:rPr>
          <w:t>Насоките</w:t>
        </w:r>
      </w:hyperlink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на Работната група по член 29 със следната илюстрация: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noProof/>
          <w:kern w:val="1"/>
          <w:sz w:val="24"/>
          <w:szCs w:val="24"/>
        </w:rPr>
        <w:lastRenderedPageBreak/>
        <w:drawing>
          <wp:inline distT="0" distB="0" distL="0" distR="0" wp14:anchorId="2E36D690" wp14:editId="08D226E9">
            <wp:extent cx="5396642" cy="4695825"/>
            <wp:effectExtent l="0" t="0" r="0" b="0"/>
            <wp:docPr id="3" name="Picture 3" descr="https://web.apis.bg/ei/136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apis.bg/ei/13607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04" cy="472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FD29A5" w:rsidRPr="00FD29A5" w:rsidRDefault="00FD29A5" w:rsidP="00FD29A5">
      <w:pPr>
        <w:widowControl w:val="0"/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b/>
          <w:sz w:val="24"/>
          <w:szCs w:val="24"/>
          <w:lang w:val="bg-BG"/>
        </w:rPr>
        <w:t>Записи в Регистъра на дейностите по обработване</w:t>
      </w:r>
    </w:p>
    <w:p w:rsidR="00FD29A5" w:rsidRPr="00FD29A5" w:rsidRDefault="00F602D4" w:rsidP="00FD29A5">
      <w:pPr>
        <w:widowControl w:val="0"/>
        <w:suppressAutoHyphens/>
        <w:spacing w:after="12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ОУ,СУ. ПГ</w:t>
      </w:r>
      <w:r w:rsidR="009259EF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..........................</w:t>
      </w:r>
      <w:r w:rsidR="00FD29A5"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записва информация за всички лични данни, включително разпознатите като „рискови“, обработвани в рамките на всяка отделна дейност/проект, и за всички процеси, свързани с тази дейност/проект в Регистъра на дейностите по обработване. Това включва описание на обработката и целите за които се извършва, законоустановените интереси, преследвани от администратора, оценка на необходимостта и пропорционалността на обработката на данните, категорията на данните </w:t>
      </w:r>
      <w:r w:rsidR="00FD29A5"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(</w:t>
      </w:r>
      <w:r w:rsidR="00FD29A5"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общи, специални, отнасящи се до дете</w:t>
      </w:r>
      <w:r w:rsidR="00FD29A5"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)</w:t>
      </w:r>
      <w:r w:rsidR="00FD29A5"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, формáта на данните,</w:t>
      </w:r>
      <w:r w:rsidR="00FD29A5"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="00FD29A5"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оценка на рисковете за правата и свободите на субектите на данни (съгласно схемата и определенията за нивото на въздействие, посочени по-горе). В Регистъра на дейностите по обработване се вписват също така всички видове операции по обработката на данните – събиране, прехвърляне, съхранение, достъп, изтриване. След извършването на ОВЗД, в Регистъра на дейностите по обработване са вписват данни и за определеното адекватно ниво на защита и набелязаните организационни и технически мерки за елиминиране или ограничаване на рисковете.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С оглед на идентифицираното основание за обраб</w:t>
      </w:r>
      <w:r w:rsidR="00E560BE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отка на данните, ОУ, СУ, ПГ</w:t>
      </w:r>
      <w:r w:rsidR="009259EF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........................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определя и записва в Регистъра на дейностите по обработване съответния период на съхранение 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lastRenderedPageBreak/>
        <w:t>Организацията определя и посочва в Регистъра на дейностите по обработване кои лица имат достъп до данните (физически лица, работни екипи, организационни звена, трети лица) и/или кои лица участват в обработката на личните данни.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FD29A5" w:rsidRPr="00FD29A5" w:rsidRDefault="00FD29A5" w:rsidP="00FD29A5">
      <w:pPr>
        <w:widowControl w:val="0"/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b/>
          <w:sz w:val="24"/>
          <w:szCs w:val="24"/>
          <w:lang w:val="bg-BG"/>
        </w:rPr>
        <w:t>Предварителна консултация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Когато в резултат на извършена ОВЗД преди започването на обработката</w:t>
      </w:r>
      <w:r w:rsidR="00E560BE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на лични данни ОУ, СУ, ПГ</w:t>
      </w:r>
      <w:r w:rsidR="009259EF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............................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установи,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че обработката им ще доведе до висок риск за субектите на данни и че не е могъл да идентифицира адекватни мерки за ограничаване и контрол на риска, организацията се консултира с надзорния орган (за България КЗЛД) съгласно изискванията на </w:t>
      </w:r>
      <w:hyperlink r:id="rId16" w:history="1">
        <w:r w:rsidRPr="00FD29A5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bg-BG" w:eastAsia="hi-IN" w:bidi="hi-IN"/>
          </w:rPr>
          <w:t>чл. 36 от ОРЗД</w:t>
        </w:r>
      </w:hyperlink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Когато поиска конс</w:t>
      </w:r>
      <w:r w:rsidR="00E560BE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ултация от надзорния орган, ОУ, СУ, ПГ</w:t>
      </w:r>
      <w:r w:rsidR="009259EF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>......................</w:t>
      </w:r>
      <w:r w:rsidR="00E560BE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</w:t>
      </w:r>
      <w:bookmarkStart w:id="0" w:name="_GoBack"/>
      <w:bookmarkEnd w:id="0"/>
      <w:r w:rsidRPr="00FD29A5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 предоставя следната информация:</w:t>
      </w:r>
    </w:p>
    <w:p w:rsidR="00FD29A5" w:rsidRPr="00FD29A5" w:rsidRDefault="00FD29A5" w:rsidP="00FD29A5">
      <w:pPr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информация за съответните отговорности на администратора, съвместните администратори и обработващите лични данни, които се занимават с обработването, по-конкретно при обработването на данни в рамките на група предприятия;</w:t>
      </w:r>
    </w:p>
    <w:p w:rsidR="00FD29A5" w:rsidRPr="00FD29A5" w:rsidRDefault="00FD29A5" w:rsidP="00FD29A5">
      <w:pPr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целите на планираното обработване и средствата за него;</w:t>
      </w:r>
    </w:p>
    <w:p w:rsidR="00FD29A5" w:rsidRPr="00FD29A5" w:rsidRDefault="00FD29A5" w:rsidP="00FD29A5">
      <w:pPr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предвидените мерки и гаранции за защита на правата и свободите на субектите на данни;</w:t>
      </w:r>
    </w:p>
    <w:p w:rsidR="00FD29A5" w:rsidRPr="00FD29A5" w:rsidRDefault="00FD29A5" w:rsidP="00FD29A5">
      <w:pPr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координатите за връзка на длъжностното лице по защита на данните;</w:t>
      </w:r>
    </w:p>
    <w:p w:rsidR="00FD29A5" w:rsidRPr="00FD29A5" w:rsidRDefault="00FD29A5" w:rsidP="00FD29A5">
      <w:pPr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копие от ОВЗД, както и</w:t>
      </w:r>
    </w:p>
    <w:p w:rsidR="00FD29A5" w:rsidRPr="00FD29A5" w:rsidRDefault="00FD29A5" w:rsidP="00FD29A5">
      <w:pPr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hAnsi="Times New Roman" w:cs="Times New Roman"/>
          <w:sz w:val="24"/>
          <w:szCs w:val="24"/>
          <w:lang w:val="bg-BG"/>
        </w:rPr>
        <w:t>всякаква друга информация, поискана от надзорния орган.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FD29A5" w:rsidRPr="00FD29A5" w:rsidRDefault="00FD29A5" w:rsidP="00FD29A5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FD29A5" w:rsidRPr="00FD29A5" w:rsidRDefault="00FD29A5" w:rsidP="00FD29A5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FD29A5" w:rsidRPr="00FD29A5" w:rsidRDefault="00FD29A5" w:rsidP="00FD29A5">
      <w:pPr>
        <w:widowControl w:val="0"/>
        <w:spacing w:before="120" w:after="0" w:line="259" w:lineRule="exact"/>
        <w:ind w:left="4541" w:right="22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29A5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УТВЪРДИЛ:</w:t>
      </w:r>
      <w:r w:rsidRPr="00FD29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29A5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…………………………..</w:t>
      </w:r>
    </w:p>
    <w:p w:rsidR="00FD29A5" w:rsidRPr="00FD29A5" w:rsidRDefault="009259EF" w:rsidP="00FD29A5">
      <w:pPr>
        <w:widowControl w:val="0"/>
        <w:spacing w:before="120" w:after="0" w:line="259" w:lineRule="exact"/>
        <w:ind w:left="4820" w:right="221" w:hanging="27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Директор:....................................</w:t>
      </w:r>
    </w:p>
    <w:p w:rsidR="00FD29A5" w:rsidRPr="00FD29A5" w:rsidRDefault="00FD29A5" w:rsidP="00FD29A5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FD29A5" w:rsidRPr="00FD29A5" w:rsidRDefault="00FD29A5" w:rsidP="00FD29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365B6F" w:rsidRPr="008356AE" w:rsidRDefault="00365B6F" w:rsidP="00FD29A5">
      <w:pPr>
        <w:jc w:val="both"/>
        <w:rPr>
          <w:b/>
          <w:i/>
          <w:sz w:val="28"/>
          <w:szCs w:val="28"/>
          <w:u w:val="single"/>
        </w:rPr>
      </w:pPr>
    </w:p>
    <w:sectPr w:rsidR="00365B6F" w:rsidRPr="008356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4D" w:rsidRDefault="00FC714D" w:rsidP="00FD29A5">
      <w:pPr>
        <w:spacing w:after="0" w:line="240" w:lineRule="auto"/>
      </w:pPr>
      <w:r>
        <w:separator/>
      </w:r>
    </w:p>
  </w:endnote>
  <w:endnote w:type="continuationSeparator" w:id="0">
    <w:p w:rsidR="00FC714D" w:rsidRDefault="00FC714D" w:rsidP="00FD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4D" w:rsidRDefault="00FC714D" w:rsidP="00FD29A5">
      <w:pPr>
        <w:spacing w:after="0" w:line="240" w:lineRule="auto"/>
      </w:pPr>
      <w:r>
        <w:separator/>
      </w:r>
    </w:p>
  </w:footnote>
  <w:footnote w:type="continuationSeparator" w:id="0">
    <w:p w:rsidR="00FC714D" w:rsidRDefault="00FC714D" w:rsidP="00FD29A5">
      <w:pPr>
        <w:spacing w:after="0" w:line="240" w:lineRule="auto"/>
      </w:pPr>
      <w:r>
        <w:continuationSeparator/>
      </w:r>
    </w:p>
  </w:footnote>
  <w:footnote w:id="1">
    <w:p w:rsidR="00B12610" w:rsidRPr="00951B66" w:rsidRDefault="00B12610" w:rsidP="00FD29A5">
      <w:pPr>
        <w:pStyle w:val="FootnoteText"/>
        <w:rPr>
          <w:rFonts w:ascii="Book Antiqua" w:hAnsi="Book Antiqua"/>
          <w:sz w:val="16"/>
          <w:szCs w:val="16"/>
          <w:lang w:val="bg-BG"/>
        </w:rPr>
      </w:pPr>
    </w:p>
  </w:footnote>
  <w:footnote w:id="2">
    <w:p w:rsidR="00B12610" w:rsidRPr="0055475B" w:rsidRDefault="00B12610" w:rsidP="00FD29A5">
      <w:pPr>
        <w:pStyle w:val="FootnoteText"/>
        <w:rPr>
          <w:rFonts w:ascii="Book Antiqua" w:hAnsi="Book Antiqua" w:cs="Arial"/>
          <w:sz w:val="18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7F2"/>
    <w:multiLevelType w:val="hybridMultilevel"/>
    <w:tmpl w:val="334429C6"/>
    <w:lvl w:ilvl="0" w:tplc="45542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460B2"/>
    <w:multiLevelType w:val="hybridMultilevel"/>
    <w:tmpl w:val="8F44B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7718"/>
    <w:multiLevelType w:val="hybridMultilevel"/>
    <w:tmpl w:val="49FE1AC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1">
      <w:start w:val="1"/>
      <w:numFmt w:val="decimal"/>
      <w:lvlText w:val="%2)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84F"/>
    <w:multiLevelType w:val="hybridMultilevel"/>
    <w:tmpl w:val="87EA8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25661"/>
    <w:multiLevelType w:val="hybridMultilevel"/>
    <w:tmpl w:val="35F8F3F6"/>
    <w:lvl w:ilvl="0" w:tplc="9A8C942C">
      <w:start w:val="1"/>
      <w:numFmt w:val="upperRoman"/>
      <w:pStyle w:val="GDPRApisParts"/>
      <w:lvlText w:val="%1."/>
      <w:lvlJc w:val="left"/>
      <w:pPr>
        <w:ind w:left="8298" w:hanging="360"/>
      </w:pPr>
      <w:rPr>
        <w:rFonts w:hint="default"/>
      </w:rPr>
    </w:lvl>
    <w:lvl w:ilvl="1" w:tplc="19FE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122AE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810AD"/>
    <w:multiLevelType w:val="hybridMultilevel"/>
    <w:tmpl w:val="D4926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1B"/>
    <w:rsid w:val="00314CD6"/>
    <w:rsid w:val="00365B6F"/>
    <w:rsid w:val="003B381B"/>
    <w:rsid w:val="003F3640"/>
    <w:rsid w:val="00661C7A"/>
    <w:rsid w:val="006D11F1"/>
    <w:rsid w:val="00741C53"/>
    <w:rsid w:val="00766C00"/>
    <w:rsid w:val="008356AE"/>
    <w:rsid w:val="009259EF"/>
    <w:rsid w:val="00B12610"/>
    <w:rsid w:val="00D92CC5"/>
    <w:rsid w:val="00E560BE"/>
    <w:rsid w:val="00F602D4"/>
    <w:rsid w:val="00FC714D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8B66"/>
  <w15:chartTrackingRefBased/>
  <w15:docId w15:val="{ED35DB2E-7F25-49AC-AFD9-3F6E7691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D2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9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29A5"/>
    <w:pPr>
      <w:ind w:left="720"/>
      <w:contextualSpacing/>
    </w:pPr>
  </w:style>
  <w:style w:type="table" w:styleId="TableGrid">
    <w:name w:val="Table Grid"/>
    <w:basedOn w:val="TableNormal"/>
    <w:uiPriority w:val="39"/>
    <w:rsid w:val="00FD29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AdministratorName">
    <w:name w:val="S_GDPR_AdministratorName"/>
    <w:basedOn w:val="Normal"/>
    <w:link w:val="SGDPRAdministratorNameChar"/>
    <w:qFormat/>
    <w:rsid w:val="00FD29A5"/>
    <w:pPr>
      <w:widowControl w:val="0"/>
      <w:suppressAutoHyphens/>
      <w:spacing w:after="0" w:line="240" w:lineRule="auto"/>
    </w:pPr>
    <w:rPr>
      <w:rFonts w:eastAsia="SimSun" w:cs="Mangal"/>
      <w:color w:val="A6A6A6"/>
      <w:kern w:val="1"/>
      <w:szCs w:val="24"/>
      <w:lang w:val="bg-BG" w:eastAsia="hi-IN" w:bidi="hi-IN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FD29A5"/>
    <w:rPr>
      <w:rFonts w:eastAsia="SimSun" w:cs="Mangal"/>
      <w:color w:val="A6A6A6"/>
      <w:kern w:val="1"/>
      <w:szCs w:val="24"/>
      <w:lang w:val="bg-BG" w:eastAsia="hi-IN" w:bidi="hi-IN"/>
    </w:rPr>
  </w:style>
  <w:style w:type="character" w:styleId="Hyperlink">
    <w:name w:val="Hyperlink"/>
    <w:rsid w:val="00FD29A5"/>
    <w:rPr>
      <w:color w:val="0000FF"/>
      <w:u w:val="single"/>
    </w:rPr>
  </w:style>
  <w:style w:type="paragraph" w:customStyle="1" w:styleId="GDPRApisParts">
    <w:name w:val="GDPR_Apis_Parts"/>
    <w:basedOn w:val="Normal"/>
    <w:qFormat/>
    <w:rsid w:val="00FD29A5"/>
    <w:pPr>
      <w:numPr>
        <w:numId w:val="2"/>
      </w:numPr>
      <w:ind w:left="360"/>
    </w:pPr>
    <w:rPr>
      <w:rFonts w:ascii="Arial" w:hAnsi="Arial"/>
      <w:b/>
      <w:color w:val="000000" w:themeColor="text1"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e.php?celex=32016R0679&amp;ToPar=Art36" TargetMode="External"/><Relationship Id="rId13" Type="http://schemas.openxmlformats.org/officeDocument/2006/relationships/hyperlink" Target="https://web.apis.bg/e.php?celex=32016R0679&amp;ToPar=Art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.apis.bg/e.php?celex=32016R0679&amp;ToPar=Art35" TargetMode="External"/><Relationship Id="rId12" Type="http://schemas.openxmlformats.org/officeDocument/2006/relationships/hyperlink" Target="https://web.apis.bg/e.php?celex=32016R0679&amp;ToPar=Art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.apis.bg/e.php?celex=32016R0679&amp;ToPar=Art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pis.bg/e.php?i=65119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web.apis.bg/e.php?celex=32016R0679&amp;ToPar=Art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e.php?i=651194" TargetMode="External"/><Relationship Id="rId14" Type="http://schemas.openxmlformats.org/officeDocument/2006/relationships/hyperlink" Target="https://web.apis.bg/e.php?i=651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2023-02-03T21:35:00Z</dcterms:created>
  <dcterms:modified xsi:type="dcterms:W3CDTF">2023-02-03T21:35:00Z</dcterms:modified>
</cp:coreProperties>
</file>